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2CC" w14:textId="04F8F74C" w:rsidR="00322AB6" w:rsidRPr="000E35BF" w:rsidRDefault="00322AB6" w:rsidP="000E35BF">
      <w:pPr>
        <w:jc w:val="center"/>
        <w:rPr>
          <w:rFonts w:ascii="Times New Roman" w:hAnsi="Times New Roman" w:cs="Times New Roman"/>
        </w:rPr>
      </w:pPr>
      <w:r w:rsidRPr="000E35BF">
        <w:rPr>
          <w:rFonts w:ascii="Times New Roman" w:hAnsi="Times New Roman" w:cs="Times New Roman"/>
        </w:rPr>
        <w:t>NTUT Journal of Intellectual Property Law and Management Review Guidelines</w:t>
      </w:r>
    </w:p>
    <w:p w14:paraId="4CD03E0C" w14:textId="07BBF470" w:rsidR="00322AB6" w:rsidRPr="00B0312F" w:rsidRDefault="00322AB6" w:rsidP="000E35BF">
      <w:pPr>
        <w:jc w:val="right"/>
        <w:rPr>
          <w:rFonts w:ascii="標楷體" w:eastAsia="標楷體" w:hAnsi="標楷體" w:cs="Times New Roman"/>
        </w:rPr>
      </w:pPr>
      <w:r w:rsidRPr="00B0312F">
        <w:rPr>
          <w:rFonts w:ascii="標楷體" w:eastAsia="標楷體" w:hAnsi="標楷體" w:cs="Times New Roman"/>
        </w:rPr>
        <w:t>中華民國1</w:t>
      </w:r>
      <w:r w:rsidR="00AE2A86" w:rsidRPr="00B0312F">
        <w:rPr>
          <w:rFonts w:ascii="標楷體" w:eastAsia="標楷體" w:hAnsi="標楷體" w:cs="Times New Roman" w:hint="eastAsia"/>
        </w:rPr>
        <w:t>14</w:t>
      </w:r>
      <w:r w:rsidRPr="00B0312F">
        <w:rPr>
          <w:rFonts w:ascii="標楷體" w:eastAsia="標楷體" w:hAnsi="標楷體" w:cs="Times New Roman"/>
        </w:rPr>
        <w:t>年</w:t>
      </w:r>
      <w:r w:rsidR="00AE2A86" w:rsidRPr="00B0312F">
        <w:rPr>
          <w:rFonts w:ascii="標楷體" w:eastAsia="標楷體" w:hAnsi="標楷體" w:cs="Times New Roman" w:hint="eastAsia"/>
        </w:rPr>
        <w:t>3</w:t>
      </w:r>
      <w:r w:rsidRPr="00B0312F">
        <w:rPr>
          <w:rFonts w:ascii="標楷體" w:eastAsia="標楷體" w:hAnsi="標楷體" w:cs="Times New Roman"/>
        </w:rPr>
        <w:t>月</w:t>
      </w:r>
      <w:r w:rsidR="00AE2A86" w:rsidRPr="00B0312F">
        <w:rPr>
          <w:rFonts w:ascii="標楷體" w:eastAsia="標楷體" w:hAnsi="標楷體" w:cs="Times New Roman" w:hint="eastAsia"/>
        </w:rPr>
        <w:t>2</w:t>
      </w:r>
      <w:r w:rsidR="001D721C" w:rsidRPr="00B0312F">
        <w:rPr>
          <w:rFonts w:ascii="標楷體" w:eastAsia="標楷體" w:hAnsi="標楷體" w:cs="Times New Roman" w:hint="eastAsia"/>
        </w:rPr>
        <w:t>7</w:t>
      </w:r>
      <w:r w:rsidRPr="00B0312F">
        <w:rPr>
          <w:rFonts w:ascii="標楷體" w:eastAsia="標楷體" w:hAnsi="標楷體" w:cs="Times New Roman"/>
        </w:rPr>
        <w:t>日  學術及創作審議委員會議</w:t>
      </w:r>
      <w:r w:rsidR="00627858" w:rsidRPr="00B0312F">
        <w:rPr>
          <w:rFonts w:ascii="標楷體" w:eastAsia="標楷體" w:hAnsi="標楷體" w:cs="Times New Roman" w:hint="eastAsia"/>
          <w:color w:val="FF0000"/>
        </w:rPr>
        <w:t>修正</w:t>
      </w:r>
      <w:r w:rsidRPr="00B0312F">
        <w:rPr>
          <w:rFonts w:ascii="標楷體" w:eastAsia="標楷體" w:hAnsi="標楷體" w:cs="Times New Roman"/>
          <w:color w:val="FF0000"/>
        </w:rPr>
        <w:t>通過</w:t>
      </w:r>
      <w:r w:rsidRPr="00B0312F">
        <w:rPr>
          <w:rFonts w:ascii="標楷體" w:eastAsia="標楷體" w:hAnsi="標楷體" w:cs="Times New Roman"/>
        </w:rPr>
        <w:t xml:space="preserve"> </w:t>
      </w:r>
    </w:p>
    <w:p w14:paraId="7B18C4B0" w14:textId="77777777" w:rsidR="00322AB6" w:rsidRPr="000E35BF" w:rsidRDefault="00322AB6" w:rsidP="00322AB6">
      <w:pPr>
        <w:jc w:val="both"/>
        <w:rPr>
          <w:rFonts w:ascii="Times New Roman" w:hAnsi="Times New Roman" w:cs="Times New Roman"/>
        </w:rPr>
      </w:pPr>
    </w:p>
    <w:p w14:paraId="6678A01D" w14:textId="731139A9"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In order to maintain the high quality of the NTUT Journal of Intellectual Property Law and Management, published by the Institute of Intellectual Property, National Taipei University of Technology (hereinafter “the Institute”), all manuscripts submitted shall be reviewed in accordance with the guidelines described herein. </w:t>
      </w:r>
    </w:p>
    <w:p w14:paraId="4FA52C68" w14:textId="77777777" w:rsidR="00322AB6" w:rsidRPr="000E35BF" w:rsidRDefault="00322AB6" w:rsidP="00322AB6">
      <w:pPr>
        <w:jc w:val="both"/>
        <w:rPr>
          <w:rFonts w:ascii="Times New Roman" w:hAnsi="Times New Roman" w:cs="Times New Roman"/>
        </w:rPr>
      </w:pPr>
    </w:p>
    <w:p w14:paraId="64FD0C1C" w14:textId="53873494"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1. The editorial board, including the editor-in-chief, executive editor, and eleven members, shall administer the reviews. </w:t>
      </w:r>
    </w:p>
    <w:p w14:paraId="091B068F" w14:textId="77CB7653"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2. The editor-in-chief shall be the director of the Institute and the executive editor shall be elected from among and by the Institute’s full-time faculty members. </w:t>
      </w:r>
    </w:p>
    <w:p w14:paraId="1830CFDD" w14:textId="0C5F7F1B"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3. </w:t>
      </w:r>
      <w:r w:rsidRPr="00627858">
        <w:rPr>
          <w:rFonts w:ascii="Times New Roman" w:hAnsi="Times New Roman" w:cs="Times New Roman"/>
          <w:color w:val="FF0000"/>
        </w:rPr>
        <w:t xml:space="preserve">If </w:t>
      </w:r>
      <w:r w:rsidR="00CA44C3" w:rsidRPr="00627858">
        <w:rPr>
          <w:rFonts w:ascii="Times New Roman" w:hAnsi="Times New Roman" w:cs="Times New Roman"/>
          <w:color w:val="FF0000"/>
        </w:rPr>
        <w:t>the</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s</w:t>
      </w:r>
      <w:r w:rsidRPr="00627858">
        <w:rPr>
          <w:rFonts w:ascii="Times New Roman" w:hAnsi="Times New Roman" w:cs="Times New Roman"/>
          <w:color w:val="FF0000"/>
        </w:rPr>
        <w:t xml:space="preserve">ubmitter of the Journal </w:t>
      </w:r>
      <w:r w:rsidR="00CA44C3" w:rsidRPr="00627858">
        <w:rPr>
          <w:rFonts w:ascii="Times New Roman" w:hAnsi="Times New Roman" w:cs="Times New Roman"/>
          <w:color w:val="FF0000"/>
        </w:rPr>
        <w:t>is</w:t>
      </w:r>
      <w:r w:rsidRPr="00627858">
        <w:rPr>
          <w:rFonts w:ascii="Times New Roman" w:hAnsi="Times New Roman" w:cs="Times New Roman"/>
          <w:color w:val="FF0000"/>
        </w:rPr>
        <w:t xml:space="preserve"> the same with the executive editor</w:t>
      </w:r>
      <w:r w:rsidR="00CA44C3" w:rsidRPr="00627858">
        <w:rPr>
          <w:rFonts w:ascii="Times New Roman" w:hAnsi="Times New Roman" w:cs="Times New Roman"/>
          <w:color w:val="FF0000"/>
        </w:rPr>
        <w:t>,</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the editor-in-chief shall</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assign</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a</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reviewer</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other</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than</w:t>
      </w:r>
      <w:r w:rsidR="00CA44C3" w:rsidRPr="00627858">
        <w:rPr>
          <w:rFonts w:ascii="Times New Roman" w:hAnsi="Times New Roman" w:cs="Times New Roman" w:hint="eastAsia"/>
          <w:color w:val="FF0000"/>
        </w:rPr>
        <w:t xml:space="preserve"> </w:t>
      </w:r>
      <w:r w:rsidR="00CA44C3" w:rsidRPr="00627858">
        <w:rPr>
          <w:rFonts w:ascii="Times New Roman" w:hAnsi="Times New Roman" w:cs="Times New Roman"/>
          <w:color w:val="FF0000"/>
        </w:rPr>
        <w:t>the submitter</w:t>
      </w:r>
      <w:r w:rsidRPr="000E35BF">
        <w:rPr>
          <w:rFonts w:ascii="Times New Roman" w:hAnsi="Times New Roman" w:cs="Times New Roman"/>
        </w:rPr>
        <w:t xml:space="preserve">. </w:t>
      </w:r>
    </w:p>
    <w:p w14:paraId="3F28A7F4" w14:textId="14C964FC"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4. The editorial board shall invite qualified instructors with appropriate expertise to conduct reviews, which must be anonymously. </w:t>
      </w:r>
    </w:p>
    <w:p w14:paraId="2D583CF6" w14:textId="256AFF1B"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5. Journal articles and conference papers shall be reviewed by at least one reviewer. In principle, for each manuscript one reviewer would be a faculty member from the Institute or other universities. </w:t>
      </w:r>
    </w:p>
    <w:p w14:paraId="2D277D5D" w14:textId="3B48A923"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6. Manuscripts shall be reviewed no more than </w:t>
      </w:r>
      <w:r w:rsidR="000E35BF" w:rsidRPr="000E35BF">
        <w:rPr>
          <w:rFonts w:ascii="Times New Roman" w:hAnsi="Times New Roman" w:cs="Times New Roman" w:hint="eastAsia"/>
          <w:color w:val="FF0000"/>
        </w:rPr>
        <w:t>six months</w:t>
      </w:r>
      <w:r w:rsidRPr="000E35BF">
        <w:rPr>
          <w:rFonts w:ascii="Times New Roman" w:hAnsi="Times New Roman" w:cs="Times New Roman"/>
        </w:rPr>
        <w:t xml:space="preserve">. </w:t>
      </w:r>
    </w:p>
    <w:p w14:paraId="49CF6F04" w14:textId="1930732B"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7. Manuscripts which are not in line with this Journal’s orientation shall be directly referred to the editorial board by the editors for a decision of refusal. </w:t>
      </w:r>
    </w:p>
    <w:p w14:paraId="4328F65E" w14:textId="141232B8"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8. To the extent possible, all notes of a manuscript shall first be checked by a graduate student, and results shall be sent to the reviewer(s) together with the manuscript. </w:t>
      </w:r>
    </w:p>
    <w:p w14:paraId="1B5F908D" w14:textId="1BE93CC3" w:rsidR="00322AB6" w:rsidRPr="000E35BF" w:rsidRDefault="00322AB6" w:rsidP="00322AB6">
      <w:pPr>
        <w:jc w:val="both"/>
        <w:rPr>
          <w:rFonts w:ascii="Times New Roman" w:hAnsi="Times New Roman" w:cs="Times New Roman"/>
        </w:rPr>
      </w:pPr>
      <w:r w:rsidRPr="000E35BF">
        <w:rPr>
          <w:rFonts w:ascii="Times New Roman" w:hAnsi="Times New Roman" w:cs="Times New Roman"/>
        </w:rPr>
        <w:t xml:space="preserve">9. Reviewers should categorize a manuscript as “accepted for publication,” “not suitable for publication,” “accepted for publication only after revision,” or “re-reviewed after revision.” The editorial board should decide whether to publish a manuscript in terms of reviewer(s)’ comments. </w:t>
      </w:r>
    </w:p>
    <w:p w14:paraId="450E756D" w14:textId="2A36FD2A" w:rsidR="00D772FC" w:rsidRDefault="00322AB6" w:rsidP="00322AB6">
      <w:pPr>
        <w:jc w:val="both"/>
        <w:rPr>
          <w:rFonts w:ascii="Times New Roman" w:hAnsi="Times New Roman" w:cs="Times New Roman"/>
        </w:rPr>
      </w:pPr>
      <w:r w:rsidRPr="000E35BF">
        <w:rPr>
          <w:rFonts w:ascii="Times New Roman" w:hAnsi="Times New Roman" w:cs="Times New Roman"/>
        </w:rPr>
        <w:lastRenderedPageBreak/>
        <w:t xml:space="preserve">10. If manuscripts </w:t>
      </w:r>
      <w:r w:rsidR="00D772FC">
        <w:rPr>
          <w:rFonts w:ascii="Times New Roman" w:hAnsi="Times New Roman" w:cs="Times New Roman" w:hint="eastAsia"/>
        </w:rPr>
        <w:t xml:space="preserve">are </w:t>
      </w:r>
      <w:r w:rsidRPr="000E35BF">
        <w:rPr>
          <w:rFonts w:ascii="Times New Roman" w:hAnsi="Times New Roman" w:cs="Times New Roman"/>
        </w:rPr>
        <w:t>accepted for publication</w:t>
      </w:r>
      <w:r w:rsidR="009207DD">
        <w:rPr>
          <w:rFonts w:ascii="Times New Roman" w:hAnsi="Times New Roman" w:cs="Times New Roman" w:hint="eastAsia"/>
        </w:rPr>
        <w:t xml:space="preserve">, authors </w:t>
      </w:r>
      <w:r w:rsidR="009207DD" w:rsidRPr="00733FF9">
        <w:rPr>
          <w:rFonts w:ascii="Times New Roman" w:hAnsi="Times New Roman" w:cs="Times New Roman" w:hint="eastAsia"/>
          <w:color w:val="FF0000"/>
        </w:rPr>
        <w:t xml:space="preserve">should remit the </w:t>
      </w:r>
      <w:r w:rsidR="009207DD" w:rsidRPr="00733FF9">
        <w:rPr>
          <w:rFonts w:ascii="Times New Roman" w:hAnsi="Times New Roman" w:cs="Times New Roman"/>
          <w:color w:val="FF0000"/>
        </w:rPr>
        <w:t>“P</w:t>
      </w:r>
      <w:r w:rsidR="00CA44C3">
        <w:rPr>
          <w:rFonts w:ascii="Times New Roman" w:hAnsi="Times New Roman" w:cs="Times New Roman"/>
          <w:color w:val="FF0000"/>
        </w:rPr>
        <w:t>ublication</w:t>
      </w:r>
      <w:r w:rsidR="009207DD" w:rsidRPr="00733FF9">
        <w:rPr>
          <w:rFonts w:ascii="Times New Roman" w:hAnsi="Times New Roman" w:cs="Times New Roman"/>
          <w:color w:val="FF0000"/>
        </w:rPr>
        <w:t xml:space="preserve"> Fee”</w:t>
      </w:r>
      <w:r w:rsidR="009207DD" w:rsidRPr="00733FF9">
        <w:rPr>
          <w:rFonts w:ascii="Times New Roman" w:hAnsi="Times New Roman" w:cs="Times New Roman" w:hint="eastAsia"/>
          <w:color w:val="FF0000"/>
        </w:rPr>
        <w:t xml:space="preserve"> for $ </w:t>
      </w:r>
      <w:r w:rsidR="00CA44C3">
        <w:rPr>
          <w:rFonts w:ascii="Times New Roman" w:hAnsi="Times New Roman" w:cs="Times New Roman"/>
          <w:color w:val="FF0000"/>
        </w:rPr>
        <w:t>100</w:t>
      </w:r>
      <w:r w:rsidR="009207DD" w:rsidRPr="00733FF9">
        <w:rPr>
          <w:rFonts w:ascii="Times New Roman" w:hAnsi="Times New Roman" w:cs="Times New Roman" w:hint="eastAsia"/>
          <w:color w:val="FF0000"/>
        </w:rPr>
        <w:t xml:space="preserve"> U.S. Dollars</w:t>
      </w:r>
      <w:r w:rsidRPr="00733FF9">
        <w:rPr>
          <w:rFonts w:ascii="Times New Roman" w:hAnsi="Times New Roman" w:cs="Times New Roman"/>
          <w:color w:val="FF0000"/>
        </w:rPr>
        <w:t xml:space="preserve"> </w:t>
      </w:r>
      <w:r w:rsidR="009207DD" w:rsidRPr="00733FF9">
        <w:rPr>
          <w:rFonts w:ascii="Times New Roman" w:hAnsi="Times New Roman" w:cs="Times New Roman" w:hint="eastAsia"/>
          <w:color w:val="FF0000"/>
        </w:rPr>
        <w:t xml:space="preserve">with specify </w:t>
      </w:r>
      <w:r w:rsidR="00AE2A86">
        <w:rPr>
          <w:rFonts w:ascii="Times New Roman" w:hAnsi="Times New Roman" w:cs="Times New Roman" w:hint="eastAsia"/>
          <w:color w:val="FF0000"/>
        </w:rPr>
        <w:t xml:space="preserve">accounts after </w:t>
      </w:r>
      <w:r w:rsidR="00CA44C3">
        <w:rPr>
          <w:rFonts w:ascii="Times New Roman" w:hAnsi="Times New Roman" w:cs="Times New Roman"/>
          <w:color w:val="FF0000"/>
        </w:rPr>
        <w:t>May</w:t>
      </w:r>
      <w:r w:rsidR="00AE2A86">
        <w:rPr>
          <w:rFonts w:ascii="Times New Roman" w:hAnsi="Times New Roman" w:cs="Times New Roman" w:hint="eastAsia"/>
          <w:color w:val="FF0000"/>
        </w:rPr>
        <w:t xml:space="preserve"> 1, 202</w:t>
      </w:r>
      <w:r w:rsidR="00CA44C3">
        <w:rPr>
          <w:rFonts w:ascii="Times New Roman" w:hAnsi="Times New Roman" w:cs="Times New Roman"/>
          <w:color w:val="FF0000"/>
        </w:rPr>
        <w:t>5</w:t>
      </w:r>
      <w:r w:rsidR="009207DD" w:rsidRPr="00733FF9">
        <w:rPr>
          <w:rFonts w:ascii="Times New Roman" w:hAnsi="Times New Roman" w:cs="Times New Roman" w:hint="eastAsia"/>
          <w:color w:val="FF0000"/>
        </w:rPr>
        <w:t xml:space="preserve">, and any </w:t>
      </w:r>
      <w:r w:rsidR="00627858" w:rsidRPr="00627858">
        <w:rPr>
          <w:rFonts w:ascii="Times New Roman" w:hAnsi="Times New Roman" w:cs="Times New Roman"/>
          <w:color w:val="FF0000"/>
        </w:rPr>
        <w:t xml:space="preserve">handling </w:t>
      </w:r>
      <w:r w:rsidR="00627858">
        <w:rPr>
          <w:rFonts w:ascii="Times New Roman" w:hAnsi="Times New Roman" w:cs="Times New Roman"/>
          <w:color w:val="FF0000"/>
        </w:rPr>
        <w:t>fe</w:t>
      </w:r>
      <w:r w:rsidR="00627858" w:rsidRPr="00627858">
        <w:rPr>
          <w:rFonts w:ascii="Times New Roman" w:hAnsi="Times New Roman" w:cs="Times New Roman"/>
          <w:color w:val="FF0000"/>
        </w:rPr>
        <w:t>e</w:t>
      </w:r>
      <w:r w:rsidR="009207DD" w:rsidRPr="00733FF9">
        <w:rPr>
          <w:rFonts w:ascii="Times New Roman" w:hAnsi="Times New Roman" w:cs="Times New Roman"/>
          <w:color w:val="FF0000"/>
        </w:rPr>
        <w:t xml:space="preserve"> </w:t>
      </w:r>
      <w:r w:rsidR="00627858">
        <w:rPr>
          <w:rFonts w:ascii="Times New Roman" w:hAnsi="Times New Roman" w:cs="Times New Roman"/>
          <w:color w:val="FF0000"/>
        </w:rPr>
        <w:t>arising</w:t>
      </w:r>
      <w:r w:rsidR="009207DD" w:rsidRPr="00733FF9">
        <w:rPr>
          <w:rFonts w:ascii="Times New Roman" w:hAnsi="Times New Roman" w:cs="Times New Roman" w:hint="eastAsia"/>
          <w:color w:val="FF0000"/>
        </w:rPr>
        <w:t xml:space="preserve"> from </w:t>
      </w:r>
      <w:r w:rsidR="009207DD" w:rsidRPr="00733FF9">
        <w:rPr>
          <w:rFonts w:ascii="Times New Roman" w:hAnsi="Times New Roman" w:cs="Times New Roman"/>
          <w:color w:val="FF0000"/>
        </w:rPr>
        <w:t>the “</w:t>
      </w:r>
      <w:r w:rsidR="00627858" w:rsidRPr="00627858">
        <w:rPr>
          <w:rFonts w:ascii="Times New Roman" w:hAnsi="Times New Roman" w:cs="Times New Roman"/>
          <w:color w:val="FF0000"/>
        </w:rPr>
        <w:t>Publication Fee</w:t>
      </w:r>
      <w:r w:rsidR="009207DD" w:rsidRPr="00733FF9">
        <w:rPr>
          <w:rFonts w:ascii="Times New Roman" w:hAnsi="Times New Roman" w:cs="Times New Roman"/>
          <w:color w:val="FF0000"/>
        </w:rPr>
        <w:t>”</w:t>
      </w:r>
      <w:r w:rsidR="009207DD" w:rsidRPr="00733FF9">
        <w:rPr>
          <w:rFonts w:ascii="Times New Roman" w:hAnsi="Times New Roman" w:cs="Times New Roman" w:hint="eastAsia"/>
          <w:color w:val="FF0000"/>
        </w:rPr>
        <w:t xml:space="preserve"> should be paid themselves</w:t>
      </w:r>
      <w:r w:rsidR="00D772FC" w:rsidRPr="00733FF9">
        <w:rPr>
          <w:rFonts w:ascii="Times New Roman" w:hAnsi="Times New Roman" w:cs="Times New Roman" w:hint="eastAsia"/>
          <w:color w:val="FF0000"/>
        </w:rPr>
        <w:t>. Otherwise, t</w:t>
      </w:r>
      <w:r w:rsidR="00D772FC" w:rsidRPr="00733FF9">
        <w:rPr>
          <w:rFonts w:ascii="Times New Roman" w:hAnsi="Times New Roman" w:cs="Times New Roman"/>
          <w:color w:val="FF0000"/>
        </w:rPr>
        <w:t>he editor should</w:t>
      </w:r>
      <w:r w:rsidR="009207DD" w:rsidRPr="00733FF9">
        <w:rPr>
          <w:rFonts w:ascii="Times New Roman" w:hAnsi="Times New Roman" w:cs="Times New Roman" w:hint="eastAsia"/>
          <w:color w:val="FF0000"/>
        </w:rPr>
        <w:t xml:space="preserve"> </w:t>
      </w:r>
      <w:r w:rsidR="00D772FC" w:rsidRPr="00733FF9">
        <w:rPr>
          <w:rFonts w:ascii="Times New Roman" w:hAnsi="Times New Roman" w:cs="Times New Roman" w:hint="eastAsia"/>
          <w:color w:val="FF0000"/>
        </w:rPr>
        <w:t xml:space="preserve">not proceed </w:t>
      </w:r>
      <w:r w:rsidR="00733FF9" w:rsidRPr="00733FF9">
        <w:rPr>
          <w:rFonts w:ascii="Times New Roman" w:hAnsi="Times New Roman" w:cs="Times New Roman" w:hint="eastAsia"/>
          <w:color w:val="FF0000"/>
        </w:rPr>
        <w:t xml:space="preserve">such </w:t>
      </w:r>
      <w:r w:rsidR="00D772FC" w:rsidRPr="00733FF9">
        <w:rPr>
          <w:rFonts w:ascii="Times New Roman" w:hAnsi="Times New Roman" w:cs="Times New Roman" w:hint="eastAsia"/>
          <w:color w:val="FF0000"/>
        </w:rPr>
        <w:t>publications continuously.</w:t>
      </w:r>
      <w:r w:rsidR="00D772FC">
        <w:rPr>
          <w:rFonts w:ascii="Times New Roman" w:hAnsi="Times New Roman" w:cs="Times New Roman" w:hint="eastAsia"/>
        </w:rPr>
        <w:t xml:space="preserve"> </w:t>
      </w:r>
    </w:p>
    <w:p w14:paraId="7805A3CF" w14:textId="0B921FAA" w:rsidR="00322AB6" w:rsidRPr="000E35BF" w:rsidRDefault="00D772FC" w:rsidP="00322AB6">
      <w:pPr>
        <w:jc w:val="both"/>
        <w:rPr>
          <w:rFonts w:ascii="Times New Roman" w:hAnsi="Times New Roman" w:cs="Times New Roman"/>
        </w:rPr>
      </w:pPr>
      <w:r>
        <w:rPr>
          <w:rFonts w:ascii="Times New Roman" w:hAnsi="Times New Roman" w:cs="Times New Roman" w:hint="eastAsia"/>
        </w:rPr>
        <w:t xml:space="preserve">11. </w:t>
      </w:r>
      <w:r w:rsidRPr="00D772FC">
        <w:rPr>
          <w:rFonts w:ascii="Times New Roman" w:hAnsi="Times New Roman" w:cs="Times New Roman"/>
        </w:rPr>
        <w:t xml:space="preserve">If manuscripts </w:t>
      </w:r>
      <w:r>
        <w:rPr>
          <w:rFonts w:ascii="Times New Roman" w:hAnsi="Times New Roman" w:cs="Times New Roman" w:hint="eastAsia"/>
        </w:rPr>
        <w:t xml:space="preserve">are </w:t>
      </w:r>
      <w:r w:rsidRPr="000E35BF">
        <w:rPr>
          <w:rFonts w:ascii="Times New Roman" w:hAnsi="Times New Roman" w:cs="Times New Roman"/>
        </w:rPr>
        <w:t>exceeding</w:t>
      </w:r>
      <w:r w:rsidR="00322AB6" w:rsidRPr="000E35BF">
        <w:rPr>
          <w:rFonts w:ascii="Times New Roman" w:hAnsi="Times New Roman" w:cs="Times New Roman"/>
        </w:rPr>
        <w:t xml:space="preserve"> the page limit of an issue, the editor shall, upon his discretion, make selections based on balance of fields</w:t>
      </w:r>
      <w:r>
        <w:rPr>
          <w:rFonts w:ascii="Times New Roman" w:hAnsi="Times New Roman" w:cs="Times New Roman" w:hint="eastAsia"/>
        </w:rPr>
        <w:t xml:space="preserve">, </w:t>
      </w:r>
      <w:r w:rsidR="00322AB6" w:rsidRPr="000E35BF">
        <w:rPr>
          <w:rFonts w:ascii="Times New Roman" w:hAnsi="Times New Roman" w:cs="Times New Roman"/>
        </w:rPr>
        <w:t>urgency</w:t>
      </w:r>
      <w:r>
        <w:rPr>
          <w:rFonts w:ascii="Times New Roman" w:hAnsi="Times New Roman" w:cs="Times New Roman" w:hint="eastAsia"/>
        </w:rPr>
        <w:t xml:space="preserve">, </w:t>
      </w:r>
      <w:r w:rsidRPr="00733FF9">
        <w:rPr>
          <w:rFonts w:ascii="Times New Roman" w:hAnsi="Times New Roman" w:cs="Times New Roman" w:hint="eastAsia"/>
          <w:color w:val="FF0000"/>
        </w:rPr>
        <w:t xml:space="preserve">and whether </w:t>
      </w:r>
      <w:r w:rsidRPr="00733FF9">
        <w:rPr>
          <w:rFonts w:ascii="Times New Roman" w:hAnsi="Times New Roman" w:cs="Times New Roman"/>
          <w:color w:val="FF0000"/>
        </w:rPr>
        <w:t>the “</w:t>
      </w:r>
      <w:r w:rsidR="00627858" w:rsidRPr="00627858">
        <w:rPr>
          <w:rFonts w:ascii="Times New Roman" w:hAnsi="Times New Roman" w:cs="Times New Roman"/>
          <w:color w:val="FF0000"/>
        </w:rPr>
        <w:t>Publication Fee</w:t>
      </w:r>
      <w:r w:rsidRPr="00733FF9">
        <w:rPr>
          <w:rFonts w:ascii="Times New Roman" w:hAnsi="Times New Roman" w:cs="Times New Roman"/>
          <w:color w:val="FF0000"/>
        </w:rPr>
        <w:t>”</w:t>
      </w:r>
      <w:r w:rsidR="00322AB6" w:rsidRPr="00733FF9">
        <w:rPr>
          <w:rFonts w:ascii="Times New Roman" w:hAnsi="Times New Roman" w:cs="Times New Roman"/>
          <w:color w:val="FF0000"/>
        </w:rPr>
        <w:t xml:space="preserve"> </w:t>
      </w:r>
      <w:r w:rsidRPr="00733FF9">
        <w:rPr>
          <w:rFonts w:ascii="Times New Roman" w:hAnsi="Times New Roman" w:cs="Times New Roman" w:hint="eastAsia"/>
          <w:color w:val="FF0000"/>
        </w:rPr>
        <w:t>is paid or not.</w:t>
      </w:r>
    </w:p>
    <w:p w14:paraId="452F704C" w14:textId="29A8287D" w:rsidR="00322AB6" w:rsidRPr="000E35BF" w:rsidRDefault="00322AB6" w:rsidP="00322AB6">
      <w:pPr>
        <w:jc w:val="both"/>
        <w:rPr>
          <w:rFonts w:ascii="Times New Roman" w:hAnsi="Times New Roman" w:cs="Times New Roman"/>
        </w:rPr>
      </w:pPr>
      <w:r w:rsidRPr="000E35BF">
        <w:rPr>
          <w:rFonts w:ascii="Times New Roman" w:hAnsi="Times New Roman" w:cs="Times New Roman"/>
        </w:rPr>
        <w:t>1</w:t>
      </w:r>
      <w:r w:rsidR="00733FF9">
        <w:rPr>
          <w:rFonts w:ascii="Times New Roman" w:hAnsi="Times New Roman" w:cs="Times New Roman" w:hint="eastAsia"/>
        </w:rPr>
        <w:t>2</w:t>
      </w:r>
      <w:r w:rsidRPr="000E35BF">
        <w:rPr>
          <w:rFonts w:ascii="Times New Roman" w:hAnsi="Times New Roman" w:cs="Times New Roman"/>
        </w:rPr>
        <w:t>. Proof of publication or acceptance for publication, if requested, can be issued by the editor accordingly, but only upon the satisfactory completion of the review process</w:t>
      </w:r>
      <w:r w:rsidR="00D772FC">
        <w:rPr>
          <w:rFonts w:ascii="Times New Roman" w:hAnsi="Times New Roman" w:cs="Times New Roman" w:hint="eastAsia"/>
        </w:rPr>
        <w:t xml:space="preserve"> </w:t>
      </w:r>
      <w:r w:rsidR="00D772FC" w:rsidRPr="00733FF9">
        <w:rPr>
          <w:rFonts w:ascii="Times New Roman" w:hAnsi="Times New Roman" w:cs="Times New Roman" w:hint="eastAsia"/>
          <w:color w:val="FF0000"/>
        </w:rPr>
        <w:t xml:space="preserve">after </w:t>
      </w:r>
      <w:r w:rsidR="00733FF9" w:rsidRPr="00733FF9">
        <w:rPr>
          <w:rFonts w:ascii="Times New Roman" w:hAnsi="Times New Roman" w:cs="Times New Roman"/>
          <w:color w:val="FF0000"/>
        </w:rPr>
        <w:t>the “</w:t>
      </w:r>
      <w:r w:rsidR="00627858" w:rsidRPr="00627858">
        <w:rPr>
          <w:rFonts w:ascii="Times New Roman" w:hAnsi="Times New Roman" w:cs="Times New Roman"/>
          <w:color w:val="FF0000"/>
        </w:rPr>
        <w:t>Publication Fee</w:t>
      </w:r>
      <w:r w:rsidR="00733FF9" w:rsidRPr="00733FF9">
        <w:rPr>
          <w:rFonts w:ascii="Times New Roman" w:hAnsi="Times New Roman" w:cs="Times New Roman"/>
          <w:color w:val="FF0000"/>
        </w:rPr>
        <w:t>”</w:t>
      </w:r>
      <w:r w:rsidR="00733FF9" w:rsidRPr="00733FF9">
        <w:rPr>
          <w:rFonts w:ascii="Times New Roman" w:hAnsi="Times New Roman" w:cs="Times New Roman" w:hint="eastAsia"/>
          <w:color w:val="FF0000"/>
        </w:rPr>
        <w:t xml:space="preserve"> is paid</w:t>
      </w:r>
      <w:r w:rsidRPr="00733FF9">
        <w:rPr>
          <w:rFonts w:ascii="Times New Roman" w:hAnsi="Times New Roman" w:cs="Times New Roman"/>
          <w:color w:val="FF0000"/>
        </w:rPr>
        <w:t>.</w:t>
      </w:r>
      <w:r w:rsidRPr="000E35BF">
        <w:rPr>
          <w:rFonts w:ascii="Times New Roman" w:hAnsi="Times New Roman" w:cs="Times New Roman"/>
        </w:rPr>
        <w:t xml:space="preserve"> </w:t>
      </w:r>
    </w:p>
    <w:p w14:paraId="7CF0ED5F" w14:textId="77777777" w:rsidR="00322AB6" w:rsidRPr="000E35BF" w:rsidRDefault="00322AB6" w:rsidP="00322AB6">
      <w:pPr>
        <w:jc w:val="both"/>
        <w:rPr>
          <w:rFonts w:ascii="Times New Roman" w:hAnsi="Times New Roman" w:cs="Times New Roman"/>
        </w:rPr>
      </w:pPr>
    </w:p>
    <w:p w14:paraId="34A79826" w14:textId="33260965" w:rsidR="00322AB6" w:rsidRPr="000E35BF" w:rsidRDefault="00322AB6" w:rsidP="00322AB6">
      <w:pPr>
        <w:jc w:val="both"/>
        <w:rPr>
          <w:rFonts w:ascii="Times New Roman" w:hAnsi="Times New Roman" w:cs="Times New Roman"/>
        </w:rPr>
      </w:pPr>
      <w:r w:rsidRPr="000E35BF">
        <w:rPr>
          <w:rFonts w:ascii="Times New Roman" w:hAnsi="Times New Roman" w:cs="Times New Roman"/>
        </w:rPr>
        <w:t>The guidelines herein take effect upon the ratification by the Institute’s Faculty Meeting.</w:t>
      </w:r>
    </w:p>
    <w:sectPr w:rsidR="00322AB6" w:rsidRPr="000E35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76C0" w14:textId="77777777" w:rsidR="00145C79" w:rsidRDefault="00145C79" w:rsidP="00AE2A86">
      <w:pPr>
        <w:spacing w:after="0" w:line="240" w:lineRule="auto"/>
      </w:pPr>
      <w:r>
        <w:separator/>
      </w:r>
    </w:p>
  </w:endnote>
  <w:endnote w:type="continuationSeparator" w:id="0">
    <w:p w14:paraId="6D9A220C" w14:textId="77777777" w:rsidR="00145C79" w:rsidRDefault="00145C79" w:rsidP="00AE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A24" w14:textId="77777777" w:rsidR="00145C79" w:rsidRDefault="00145C79" w:rsidP="00AE2A86">
      <w:pPr>
        <w:spacing w:after="0" w:line="240" w:lineRule="auto"/>
      </w:pPr>
      <w:r>
        <w:separator/>
      </w:r>
    </w:p>
  </w:footnote>
  <w:footnote w:type="continuationSeparator" w:id="0">
    <w:p w14:paraId="1D075CE4" w14:textId="77777777" w:rsidR="00145C79" w:rsidRDefault="00145C79" w:rsidP="00AE2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B6"/>
    <w:rsid w:val="0000456F"/>
    <w:rsid w:val="00031A41"/>
    <w:rsid w:val="000E35BF"/>
    <w:rsid w:val="001018D6"/>
    <w:rsid w:val="00145C79"/>
    <w:rsid w:val="001D721C"/>
    <w:rsid w:val="00322AB6"/>
    <w:rsid w:val="0033140A"/>
    <w:rsid w:val="00627858"/>
    <w:rsid w:val="006C262B"/>
    <w:rsid w:val="00733FF9"/>
    <w:rsid w:val="00836FA8"/>
    <w:rsid w:val="009207DD"/>
    <w:rsid w:val="00AE2A86"/>
    <w:rsid w:val="00B0312F"/>
    <w:rsid w:val="00C121B1"/>
    <w:rsid w:val="00CA44C3"/>
    <w:rsid w:val="00D772FC"/>
    <w:rsid w:val="00EA13C5"/>
    <w:rsid w:val="00EE0E8D"/>
    <w:rsid w:val="00EE5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9671"/>
  <w15:chartTrackingRefBased/>
  <w15:docId w15:val="{507BEE50-7F9C-4A19-9074-84BF8358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AB6"/>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322AB6"/>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322A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22AB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22AB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2AB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22AB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2AB6"/>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322AB6"/>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322AB6"/>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322AB6"/>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322AB6"/>
    <w:rPr>
      <w:rFonts w:eastAsiaTheme="majorEastAsia" w:cstheme="majorBidi"/>
      <w:color w:val="2F5496" w:themeColor="accent1" w:themeShade="BF"/>
    </w:rPr>
  </w:style>
  <w:style w:type="character" w:customStyle="1" w:styleId="60">
    <w:name w:val="標題 6 字元"/>
    <w:basedOn w:val="a0"/>
    <w:link w:val="6"/>
    <w:uiPriority w:val="9"/>
    <w:semiHidden/>
    <w:rsid w:val="00322AB6"/>
    <w:rPr>
      <w:rFonts w:eastAsiaTheme="majorEastAsia" w:cstheme="majorBidi"/>
      <w:color w:val="595959" w:themeColor="text1" w:themeTint="A6"/>
    </w:rPr>
  </w:style>
  <w:style w:type="character" w:customStyle="1" w:styleId="70">
    <w:name w:val="標題 7 字元"/>
    <w:basedOn w:val="a0"/>
    <w:link w:val="7"/>
    <w:uiPriority w:val="9"/>
    <w:semiHidden/>
    <w:rsid w:val="00322AB6"/>
    <w:rPr>
      <w:rFonts w:eastAsiaTheme="majorEastAsia" w:cstheme="majorBidi"/>
      <w:color w:val="595959" w:themeColor="text1" w:themeTint="A6"/>
    </w:rPr>
  </w:style>
  <w:style w:type="character" w:customStyle="1" w:styleId="80">
    <w:name w:val="標題 8 字元"/>
    <w:basedOn w:val="a0"/>
    <w:link w:val="8"/>
    <w:uiPriority w:val="9"/>
    <w:semiHidden/>
    <w:rsid w:val="00322AB6"/>
    <w:rPr>
      <w:rFonts w:eastAsiaTheme="majorEastAsia" w:cstheme="majorBidi"/>
      <w:color w:val="272727" w:themeColor="text1" w:themeTint="D8"/>
    </w:rPr>
  </w:style>
  <w:style w:type="character" w:customStyle="1" w:styleId="90">
    <w:name w:val="標題 9 字元"/>
    <w:basedOn w:val="a0"/>
    <w:link w:val="9"/>
    <w:uiPriority w:val="9"/>
    <w:semiHidden/>
    <w:rsid w:val="00322AB6"/>
    <w:rPr>
      <w:rFonts w:eastAsiaTheme="majorEastAsia" w:cstheme="majorBidi"/>
      <w:color w:val="272727" w:themeColor="text1" w:themeTint="D8"/>
    </w:rPr>
  </w:style>
  <w:style w:type="paragraph" w:styleId="a3">
    <w:name w:val="Title"/>
    <w:basedOn w:val="a"/>
    <w:next w:val="a"/>
    <w:link w:val="a4"/>
    <w:uiPriority w:val="10"/>
    <w:qFormat/>
    <w:rsid w:val="00322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22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22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AB6"/>
    <w:pPr>
      <w:spacing w:before="160"/>
      <w:jc w:val="center"/>
    </w:pPr>
    <w:rPr>
      <w:i/>
      <w:iCs/>
      <w:color w:val="404040" w:themeColor="text1" w:themeTint="BF"/>
    </w:rPr>
  </w:style>
  <w:style w:type="character" w:customStyle="1" w:styleId="a8">
    <w:name w:val="引文 字元"/>
    <w:basedOn w:val="a0"/>
    <w:link w:val="a7"/>
    <w:uiPriority w:val="29"/>
    <w:rsid w:val="00322AB6"/>
    <w:rPr>
      <w:i/>
      <w:iCs/>
      <w:color w:val="404040" w:themeColor="text1" w:themeTint="BF"/>
    </w:rPr>
  </w:style>
  <w:style w:type="paragraph" w:styleId="a9">
    <w:name w:val="List Paragraph"/>
    <w:basedOn w:val="a"/>
    <w:uiPriority w:val="34"/>
    <w:qFormat/>
    <w:rsid w:val="00322AB6"/>
    <w:pPr>
      <w:ind w:left="720"/>
      <w:contextualSpacing/>
    </w:pPr>
  </w:style>
  <w:style w:type="character" w:styleId="aa">
    <w:name w:val="Intense Emphasis"/>
    <w:basedOn w:val="a0"/>
    <w:uiPriority w:val="21"/>
    <w:qFormat/>
    <w:rsid w:val="00322AB6"/>
    <w:rPr>
      <w:i/>
      <w:iCs/>
      <w:color w:val="2F5496" w:themeColor="accent1" w:themeShade="BF"/>
    </w:rPr>
  </w:style>
  <w:style w:type="paragraph" w:styleId="ab">
    <w:name w:val="Intense Quote"/>
    <w:basedOn w:val="a"/>
    <w:next w:val="a"/>
    <w:link w:val="ac"/>
    <w:uiPriority w:val="30"/>
    <w:qFormat/>
    <w:rsid w:val="00322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322AB6"/>
    <w:rPr>
      <w:i/>
      <w:iCs/>
      <w:color w:val="2F5496" w:themeColor="accent1" w:themeShade="BF"/>
    </w:rPr>
  </w:style>
  <w:style w:type="character" w:styleId="ad">
    <w:name w:val="Intense Reference"/>
    <w:basedOn w:val="a0"/>
    <w:uiPriority w:val="32"/>
    <w:qFormat/>
    <w:rsid w:val="00322AB6"/>
    <w:rPr>
      <w:b/>
      <w:bCs/>
      <w:smallCaps/>
      <w:color w:val="2F5496" w:themeColor="accent1" w:themeShade="BF"/>
      <w:spacing w:val="5"/>
    </w:rPr>
  </w:style>
  <w:style w:type="paragraph" w:styleId="ae">
    <w:name w:val="header"/>
    <w:basedOn w:val="a"/>
    <w:link w:val="af"/>
    <w:uiPriority w:val="99"/>
    <w:unhideWhenUsed/>
    <w:rsid w:val="00AE2A86"/>
    <w:pPr>
      <w:tabs>
        <w:tab w:val="center" w:pos="4153"/>
        <w:tab w:val="right" w:pos="8306"/>
      </w:tabs>
      <w:snapToGrid w:val="0"/>
    </w:pPr>
    <w:rPr>
      <w:sz w:val="20"/>
      <w:szCs w:val="20"/>
    </w:rPr>
  </w:style>
  <w:style w:type="character" w:customStyle="1" w:styleId="af">
    <w:name w:val="頁首 字元"/>
    <w:basedOn w:val="a0"/>
    <w:link w:val="ae"/>
    <w:uiPriority w:val="99"/>
    <w:rsid w:val="00AE2A86"/>
    <w:rPr>
      <w:sz w:val="20"/>
      <w:szCs w:val="20"/>
    </w:rPr>
  </w:style>
  <w:style w:type="paragraph" w:styleId="af0">
    <w:name w:val="footer"/>
    <w:basedOn w:val="a"/>
    <w:link w:val="af1"/>
    <w:uiPriority w:val="99"/>
    <w:unhideWhenUsed/>
    <w:rsid w:val="00AE2A86"/>
    <w:pPr>
      <w:tabs>
        <w:tab w:val="center" w:pos="4153"/>
        <w:tab w:val="right" w:pos="8306"/>
      </w:tabs>
      <w:snapToGrid w:val="0"/>
    </w:pPr>
    <w:rPr>
      <w:sz w:val="20"/>
      <w:szCs w:val="20"/>
    </w:rPr>
  </w:style>
  <w:style w:type="character" w:customStyle="1" w:styleId="af1">
    <w:name w:val="頁尾 字元"/>
    <w:basedOn w:val="a0"/>
    <w:link w:val="af0"/>
    <w:uiPriority w:val="99"/>
    <w:rsid w:val="00AE2A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F5B1-42EC-4731-B06F-023AF6B4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匡正 陳</dc:creator>
  <cp:keywords/>
  <dc:description/>
  <cp:lastModifiedBy>User-035900</cp:lastModifiedBy>
  <cp:revision>3</cp:revision>
  <dcterms:created xsi:type="dcterms:W3CDTF">2025-03-27T08:06:00Z</dcterms:created>
  <dcterms:modified xsi:type="dcterms:W3CDTF">2025-06-02T01:22:00Z</dcterms:modified>
</cp:coreProperties>
</file>